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Критеријуми оцењивања Стручног већа за физику, хемију и биологију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Утврђен је критеријум оцењивања на нивоу Стручног већа, а посебан акценат је стављен на лабораторијске вежбе и пројекте, уведене као последица реформи у образовању. На састанку актива сваки наставник је изнео своје методе оцењивања, при чему су донети следећи заједнички закључци: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у настави се користе препоручени уџбеници, мада сваки наставник може свом разреду препоручити и додатну литературу за учење;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•наставници треба да бележе сваку активност ученика на часу у електронском дневнику, у ком постоје емотикони који се додељују ученицима за одређену активност (зелени, жути и црвени емотикон). Предлог наставника је да уколико ученик „сакупи„ три до пет зелених емотикона (у зависности од фонда часова) добије највишу оцену за активност у том кварталу. Све унете активности ученика, као и оцене дате на тај начин, треба образложити ученицима – усменим и писаним путем у есДневнику.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•сви наставници у полугодишту, осим активности, ученике треба да оцене и усменим испитивањем (бар једна оцена). То је много лакше извести у оним одељењима где је фонд часова већи. Зато треба ученике и на вежбама оцењивати за усмено одговарање, а које је у вези са изведеном вежбом.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•ученици би у полугодишту требало да добију бар по једну оцену на изведеним вежбама (што зависи од броја часова на вежбама). Наставници узимају у обзир и свеске ученика у којима пишу извештај за сваку вежбу.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Контролни задаци морају бити саставни део Годишњег плана рада школе, усаглашени са другим предметима и истакнути на јавном месту (сајт школе, огласна табла). Сваки наставник је у обавези да бар недељу дана раније подсети ученике на предстојеће контролне вежбе. Контролни задаци из физике и хемије планирани су на следећи начин: један контролни у полугодишту у свим одељењима на друштвеном смеру и два контролна у полугодишту у одељењима природног смера. Из биологије су планиране само петнаестоминутне провере.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Скала у процентима за писмене провере за предмет физика: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25% оцена (2)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45% оцена (3)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65% оцена (4)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85% оцена (5)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Скала у процентима за писмене провере за предмет хемија: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30% оцена (2)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50% оцена (3)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70% оцена (4)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90% оцена (5)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Скала у процентима за писмене провере за предмет биологија: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30% оцена (2)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50% оцена (3)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75% оцена (4)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85% оцена (5)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У изузетним случајевима, скала оцењивања може бити прилагођена одељењу.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•закључна оцена ученику не може бити изведена само на основу једне активности која је праћена, већ треба да буде свеобухватни приказ ученичког постигнућа из тог предмета током целог полугодишта.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•свака оцена је јавна и саопштава се пред одељењем, уз образложење.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81735"/>
          <w:sz w:val="24"/>
          <w:szCs w:val="24"/>
          <w:highlight w:val="white"/>
          <w:rtl w:val="0"/>
        </w:rPr>
        <w:t xml:space="preserve">•уколико ученици имају проблема да на редовним часовима савладају градиво, биће организована допунска настава и часови. Наставницима је јасно да су ове генерације ученика последње две школске године учили онлајн и да квалитет такве наставе и усвојеног градива није исти као код претходних генерација, тако да захтеви наставника на нивоу предмета треба да буду прилагођени предзнању ученика.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